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Layout w:type="fixed"/>
        <w:tblLook w:val="0000"/>
      </w:tblPr>
      <w:tblGrid>
        <w:gridCol w:w="2254"/>
        <w:gridCol w:w="7582"/>
      </w:tblGrid>
      <w:tr w:rsidR="002553AC" w:rsidRPr="00870772" w:rsidTr="00B33172">
        <w:trPr>
          <w:trHeight w:val="1701"/>
        </w:trPr>
        <w:tc>
          <w:tcPr>
            <w:tcW w:w="2254" w:type="dxa"/>
          </w:tcPr>
          <w:p w:rsidR="002553AC" w:rsidRPr="00D66FD9" w:rsidRDefault="002553AC" w:rsidP="00B3317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-263550</wp:posOffset>
                  </wp:positionH>
                  <wp:positionV relativeFrom="paragraph">
                    <wp:posOffset>-82956</wp:posOffset>
                  </wp:positionV>
                  <wp:extent cx="1338410" cy="1376313"/>
                  <wp:effectExtent l="19050" t="0" r="0" b="0"/>
                  <wp:wrapNone/>
                  <wp:docPr id="5" name="Picture 1" descr="LOGO(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(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410" cy="1376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</w:tcPr>
          <w:p w:rsidR="002553AC" w:rsidRPr="004318A4" w:rsidRDefault="002553AC" w:rsidP="00B33172">
            <w:pPr>
              <w:tabs>
                <w:tab w:val="left" w:pos="2004"/>
              </w:tabs>
              <w:ind w:left="720"/>
              <w:rPr>
                <w:b/>
                <w:i/>
                <w:iCs/>
              </w:rPr>
            </w:pPr>
          </w:p>
        </w:tc>
      </w:tr>
    </w:tbl>
    <w:p w:rsidR="002553AC" w:rsidRPr="00DF3D84" w:rsidRDefault="002553AC" w:rsidP="002553AC">
      <w:pPr>
        <w:jc w:val="center"/>
        <w:rPr>
          <w:rFonts w:ascii="Arial" w:hAnsi="Arial" w:cs="Arial"/>
          <w:b/>
          <w:sz w:val="36"/>
          <w:szCs w:val="36"/>
        </w:rPr>
      </w:pPr>
      <w:r w:rsidRPr="00DF3D84">
        <w:rPr>
          <w:rFonts w:ascii="Arial" w:hAnsi="Arial" w:cs="Arial"/>
          <w:b/>
          <w:sz w:val="36"/>
          <w:szCs w:val="36"/>
          <w:u w:val="single"/>
        </w:rPr>
        <w:t>TENDER NOTICE</w:t>
      </w:r>
    </w:p>
    <w:p w:rsidR="002553AC" w:rsidRPr="00DF3D84" w:rsidRDefault="002553AC" w:rsidP="002553AC">
      <w:pPr>
        <w:jc w:val="both"/>
        <w:rPr>
          <w:rFonts w:ascii="Arial" w:hAnsi="Arial" w:cs="Arial"/>
          <w:sz w:val="14"/>
        </w:rPr>
      </w:pPr>
    </w:p>
    <w:p w:rsidR="002553AC" w:rsidRPr="00DF3D84" w:rsidRDefault="002553AC" w:rsidP="00255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D84">
        <w:rPr>
          <w:rFonts w:ascii="Arial" w:hAnsi="Arial" w:cs="Arial"/>
          <w:sz w:val="22"/>
          <w:szCs w:val="22"/>
        </w:rPr>
        <w:t xml:space="preserve">In accordance with Public Procurement Rules-2010, the Police Department </w:t>
      </w:r>
      <w:r w:rsidR="00DF3D84" w:rsidRPr="00DF3D84">
        <w:rPr>
          <w:rFonts w:ascii="Arial" w:hAnsi="Arial" w:cs="Arial"/>
          <w:sz w:val="22"/>
          <w:szCs w:val="22"/>
        </w:rPr>
        <w:t xml:space="preserve">Government of </w:t>
      </w:r>
      <w:proofErr w:type="gramStart"/>
      <w:r w:rsidR="00DF3D84" w:rsidRPr="00DF3D84">
        <w:rPr>
          <w:rFonts w:ascii="Arial" w:hAnsi="Arial" w:cs="Arial"/>
          <w:sz w:val="22"/>
          <w:szCs w:val="22"/>
        </w:rPr>
        <w:t>Sindh,</w:t>
      </w:r>
      <w:proofErr w:type="gramEnd"/>
      <w:r w:rsidRPr="00DF3D84">
        <w:rPr>
          <w:rFonts w:ascii="Arial" w:hAnsi="Arial" w:cs="Arial"/>
          <w:sz w:val="22"/>
          <w:szCs w:val="22"/>
        </w:rPr>
        <w:t xml:space="preserve"> invites tenders from suppliers/bidder/firms registered with Sales Tax and Income Tax Departments for the supply of following Machinery equipment / items for RRF Sindh Police.</w:t>
      </w:r>
    </w:p>
    <w:p w:rsidR="002553AC" w:rsidRPr="00DF3D84" w:rsidRDefault="002553AC" w:rsidP="002553AC">
      <w:pPr>
        <w:jc w:val="both"/>
        <w:rPr>
          <w:rFonts w:ascii="Arial" w:hAnsi="Arial" w:cs="Arial"/>
          <w:sz w:val="10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810"/>
        <w:gridCol w:w="4230"/>
        <w:gridCol w:w="990"/>
        <w:gridCol w:w="1980"/>
        <w:gridCol w:w="1800"/>
      </w:tblGrid>
      <w:tr w:rsidR="00DF3D84" w:rsidTr="00D7587C">
        <w:trPr>
          <w:trHeight w:val="440"/>
        </w:trPr>
        <w:tc>
          <w:tcPr>
            <w:tcW w:w="810" w:type="dxa"/>
            <w:vAlign w:val="center"/>
          </w:tcPr>
          <w:p w:rsidR="002553AC" w:rsidRPr="00DF3D84" w:rsidRDefault="002553AC" w:rsidP="00D75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D84">
              <w:rPr>
                <w:rFonts w:ascii="Arial" w:hAnsi="Arial" w:cs="Arial"/>
                <w:b/>
                <w:sz w:val="22"/>
                <w:szCs w:val="22"/>
              </w:rPr>
              <w:t>S.#</w:t>
            </w:r>
          </w:p>
        </w:tc>
        <w:tc>
          <w:tcPr>
            <w:tcW w:w="4230" w:type="dxa"/>
            <w:vAlign w:val="center"/>
          </w:tcPr>
          <w:p w:rsidR="002553AC" w:rsidRPr="00DF3D84" w:rsidRDefault="002553AC" w:rsidP="00D75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D84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990" w:type="dxa"/>
            <w:vAlign w:val="center"/>
          </w:tcPr>
          <w:p w:rsidR="002553AC" w:rsidRPr="00DF3D84" w:rsidRDefault="002553AC" w:rsidP="00D75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D84"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980" w:type="dxa"/>
            <w:vAlign w:val="center"/>
          </w:tcPr>
          <w:p w:rsidR="002553AC" w:rsidRPr="00DF3D84" w:rsidRDefault="002553AC" w:rsidP="00D758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D84">
              <w:rPr>
                <w:rFonts w:ascii="Arial" w:hAnsi="Arial" w:cs="Arial"/>
                <w:b/>
                <w:sz w:val="22"/>
                <w:szCs w:val="22"/>
              </w:rPr>
              <w:t>Supply Period</w:t>
            </w:r>
          </w:p>
        </w:tc>
        <w:tc>
          <w:tcPr>
            <w:tcW w:w="1800" w:type="dxa"/>
            <w:vAlign w:val="center"/>
          </w:tcPr>
          <w:p w:rsidR="002553AC" w:rsidRPr="00DF3D84" w:rsidRDefault="002553AC" w:rsidP="00D758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3D84">
              <w:rPr>
                <w:rFonts w:ascii="Arial" w:hAnsi="Arial" w:cs="Arial"/>
                <w:b/>
                <w:sz w:val="22"/>
                <w:szCs w:val="22"/>
              </w:rPr>
              <w:t>Tender Fees</w:t>
            </w:r>
          </w:p>
        </w:tc>
      </w:tr>
      <w:tr w:rsidR="00DF3D84" w:rsidTr="00DF3D84">
        <w:tc>
          <w:tcPr>
            <w:tcW w:w="810" w:type="dxa"/>
          </w:tcPr>
          <w:p w:rsidR="002553AC" w:rsidRPr="00DF3D84" w:rsidRDefault="002553AC" w:rsidP="00DF3D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3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Computer with Accessories</w:t>
            </w:r>
          </w:p>
        </w:tc>
        <w:tc>
          <w:tcPr>
            <w:tcW w:w="99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 xml:space="preserve">06 </w:t>
            </w:r>
            <w:proofErr w:type="spellStart"/>
            <w:r w:rsidRPr="00DF3D84"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 w:rsidRPr="00DF3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553AC" w:rsidRPr="00DF3D84" w:rsidRDefault="002553AC" w:rsidP="00B33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10 days</w:t>
            </w:r>
          </w:p>
        </w:tc>
        <w:tc>
          <w:tcPr>
            <w:tcW w:w="180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Rs.500/-</w:t>
            </w:r>
          </w:p>
        </w:tc>
      </w:tr>
      <w:tr w:rsidR="00DF3D84" w:rsidTr="00DF3D84">
        <w:tc>
          <w:tcPr>
            <w:tcW w:w="810" w:type="dxa"/>
          </w:tcPr>
          <w:p w:rsidR="002553AC" w:rsidRPr="00DF3D84" w:rsidRDefault="002553AC" w:rsidP="00DF3D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3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Laser Printer Jet</w:t>
            </w:r>
          </w:p>
        </w:tc>
        <w:tc>
          <w:tcPr>
            <w:tcW w:w="99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 xml:space="preserve">06 </w:t>
            </w:r>
            <w:proofErr w:type="spellStart"/>
            <w:r w:rsidRPr="00DF3D84"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 w:rsidRPr="00DF3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553AC" w:rsidRPr="00DF3D84" w:rsidRDefault="002553AC" w:rsidP="00B33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10 days</w:t>
            </w:r>
          </w:p>
        </w:tc>
        <w:tc>
          <w:tcPr>
            <w:tcW w:w="180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Rs.500/-</w:t>
            </w:r>
          </w:p>
        </w:tc>
      </w:tr>
      <w:tr w:rsidR="00DF3D84" w:rsidTr="00DF3D84">
        <w:tc>
          <w:tcPr>
            <w:tcW w:w="810" w:type="dxa"/>
          </w:tcPr>
          <w:p w:rsidR="002553AC" w:rsidRPr="00DF3D84" w:rsidRDefault="002553AC" w:rsidP="00DF3D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3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Photocopier Machine (Powder Copy)</w:t>
            </w:r>
          </w:p>
        </w:tc>
        <w:tc>
          <w:tcPr>
            <w:tcW w:w="99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 xml:space="preserve">03 </w:t>
            </w:r>
            <w:proofErr w:type="spellStart"/>
            <w:r w:rsidRPr="00DF3D84">
              <w:rPr>
                <w:rFonts w:ascii="Arial" w:hAnsi="Arial" w:cs="Arial"/>
                <w:sz w:val="22"/>
                <w:szCs w:val="22"/>
              </w:rPr>
              <w:t>Nos</w:t>
            </w:r>
            <w:proofErr w:type="spellEnd"/>
            <w:r w:rsidRPr="00DF3D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2553AC" w:rsidRPr="00DF3D84" w:rsidRDefault="002553AC" w:rsidP="00B331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10 days</w:t>
            </w:r>
          </w:p>
        </w:tc>
        <w:tc>
          <w:tcPr>
            <w:tcW w:w="1800" w:type="dxa"/>
          </w:tcPr>
          <w:p w:rsidR="002553AC" w:rsidRPr="00DF3D84" w:rsidRDefault="002553AC" w:rsidP="00B331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3D84">
              <w:rPr>
                <w:rFonts w:ascii="Arial" w:hAnsi="Arial" w:cs="Arial"/>
                <w:sz w:val="22"/>
                <w:szCs w:val="22"/>
              </w:rPr>
              <w:t>Rs.500/-</w:t>
            </w:r>
          </w:p>
        </w:tc>
      </w:tr>
    </w:tbl>
    <w:p w:rsidR="002553AC" w:rsidRPr="00DF3D84" w:rsidRDefault="002553AC" w:rsidP="002553AC">
      <w:pPr>
        <w:jc w:val="both"/>
        <w:rPr>
          <w:rFonts w:ascii="Arial" w:hAnsi="Arial" w:cs="Arial"/>
          <w:sz w:val="14"/>
        </w:rPr>
      </w:pPr>
    </w:p>
    <w:p w:rsidR="002553AC" w:rsidRPr="00D66FD9" w:rsidRDefault="002553AC" w:rsidP="002553A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66FD9">
        <w:rPr>
          <w:rFonts w:ascii="Arial" w:hAnsi="Arial" w:cs="Arial"/>
          <w:b/>
          <w:sz w:val="20"/>
          <w:szCs w:val="20"/>
          <w:u w:val="single"/>
        </w:rPr>
        <w:t>INSTRUCTIONS:</w:t>
      </w:r>
    </w:p>
    <w:p w:rsidR="002553AC" w:rsidRPr="00D66FD9" w:rsidRDefault="002553AC" w:rsidP="002553AC">
      <w:pPr>
        <w:jc w:val="both"/>
        <w:rPr>
          <w:rFonts w:ascii="Arial" w:hAnsi="Arial" w:cs="Arial"/>
          <w:sz w:val="20"/>
          <w:szCs w:val="20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 xml:space="preserve">Interested firms/companies /bidders may obtain the tender documents </w:t>
      </w:r>
      <w:proofErr w:type="spellStart"/>
      <w:r w:rsidRPr="00DF3D84">
        <w:rPr>
          <w:rFonts w:ascii="Arial" w:hAnsi="Arial" w:cs="Arial"/>
          <w:sz w:val="22"/>
          <w:szCs w:val="22"/>
        </w:rPr>
        <w:t>alongwith</w:t>
      </w:r>
      <w:proofErr w:type="spellEnd"/>
      <w:r w:rsidRPr="00DF3D84">
        <w:rPr>
          <w:rFonts w:ascii="Arial" w:hAnsi="Arial" w:cs="Arial"/>
          <w:sz w:val="22"/>
          <w:szCs w:val="22"/>
        </w:rPr>
        <w:t xml:space="preserve"> specifications from </w:t>
      </w:r>
      <w:r w:rsidRPr="00DF3D84">
        <w:rPr>
          <w:rFonts w:ascii="Arial" w:hAnsi="Arial" w:cs="Arial"/>
          <w:b/>
          <w:sz w:val="22"/>
          <w:szCs w:val="22"/>
        </w:rPr>
        <w:t xml:space="preserve">office of the DIGP/RRF Sindh, </w:t>
      </w:r>
      <w:proofErr w:type="spellStart"/>
      <w:r w:rsidRPr="00DF3D84">
        <w:rPr>
          <w:rFonts w:ascii="Arial" w:hAnsi="Arial" w:cs="Arial"/>
          <w:b/>
          <w:sz w:val="22"/>
          <w:szCs w:val="22"/>
        </w:rPr>
        <w:t>Korangi</w:t>
      </w:r>
      <w:proofErr w:type="spellEnd"/>
      <w:r w:rsidRPr="00DF3D84">
        <w:rPr>
          <w:rFonts w:ascii="Arial" w:hAnsi="Arial" w:cs="Arial"/>
          <w:b/>
          <w:sz w:val="22"/>
          <w:szCs w:val="22"/>
        </w:rPr>
        <w:t xml:space="preserve"> Creek Karachi</w:t>
      </w:r>
      <w:r w:rsidRPr="00DF3D84">
        <w:rPr>
          <w:rFonts w:ascii="Arial" w:hAnsi="Arial" w:cs="Arial"/>
          <w:sz w:val="22"/>
          <w:szCs w:val="22"/>
        </w:rPr>
        <w:t xml:space="preserve">, by submitting  applications on their letter head </w:t>
      </w:r>
      <w:proofErr w:type="spellStart"/>
      <w:r w:rsidRPr="00DF3D84">
        <w:rPr>
          <w:rFonts w:ascii="Arial" w:hAnsi="Arial" w:cs="Arial"/>
          <w:sz w:val="22"/>
          <w:szCs w:val="22"/>
        </w:rPr>
        <w:t>alongwith</w:t>
      </w:r>
      <w:proofErr w:type="spellEnd"/>
      <w:r w:rsidRPr="00DF3D84">
        <w:rPr>
          <w:rFonts w:ascii="Arial" w:hAnsi="Arial" w:cs="Arial"/>
          <w:sz w:val="22"/>
          <w:szCs w:val="22"/>
        </w:rPr>
        <w:t xml:space="preserve"> tender fees from 23.05.2012 to 05.06.2012 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 xml:space="preserve">Sealed tenders on prescribed Performa in duplicate </w:t>
      </w:r>
      <w:proofErr w:type="spellStart"/>
      <w:r w:rsidRPr="00DF3D84">
        <w:rPr>
          <w:rFonts w:ascii="Arial" w:hAnsi="Arial" w:cs="Arial"/>
          <w:sz w:val="22"/>
          <w:szCs w:val="22"/>
        </w:rPr>
        <w:t>alongwith</w:t>
      </w:r>
      <w:proofErr w:type="spellEnd"/>
      <w:r w:rsidRPr="00DF3D84">
        <w:rPr>
          <w:rFonts w:ascii="Arial" w:hAnsi="Arial" w:cs="Arial"/>
          <w:sz w:val="22"/>
          <w:szCs w:val="22"/>
        </w:rPr>
        <w:t xml:space="preserve"> 2% earnest money of the total bid in the form of Pay Order (Payee’s A/C in </w:t>
      </w:r>
      <w:proofErr w:type="spellStart"/>
      <w:r w:rsidRPr="00DF3D84">
        <w:rPr>
          <w:rFonts w:ascii="Arial" w:hAnsi="Arial" w:cs="Arial"/>
          <w:sz w:val="22"/>
          <w:szCs w:val="22"/>
        </w:rPr>
        <w:t>favour</w:t>
      </w:r>
      <w:proofErr w:type="spellEnd"/>
      <w:r w:rsidRPr="00DF3D84">
        <w:rPr>
          <w:rFonts w:ascii="Arial" w:hAnsi="Arial" w:cs="Arial"/>
          <w:sz w:val="22"/>
          <w:szCs w:val="22"/>
        </w:rPr>
        <w:t xml:space="preserve"> of Deputy Inspector General of Police RRF Sindh, Karachi should be dropped in the tender box kept in office of the </w:t>
      </w:r>
      <w:r w:rsidRPr="00DF3D84">
        <w:rPr>
          <w:rFonts w:ascii="Arial" w:hAnsi="Arial" w:cs="Arial"/>
          <w:b/>
          <w:sz w:val="22"/>
          <w:szCs w:val="22"/>
        </w:rPr>
        <w:t>DIGP/RRF Sindh, Karachi</w:t>
      </w:r>
      <w:r w:rsidRPr="00DF3D84">
        <w:rPr>
          <w:rFonts w:ascii="Arial" w:hAnsi="Arial" w:cs="Arial"/>
          <w:sz w:val="22"/>
          <w:szCs w:val="22"/>
        </w:rPr>
        <w:t>, on 05.06.2012 at 1200 hours.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The tender shall be opened 0</w:t>
      </w:r>
      <w:r w:rsidR="001074B3">
        <w:rPr>
          <w:rFonts w:ascii="Arial" w:hAnsi="Arial" w:cs="Arial"/>
          <w:sz w:val="22"/>
          <w:szCs w:val="22"/>
        </w:rPr>
        <w:t>8</w:t>
      </w:r>
      <w:r w:rsidRPr="00DF3D84">
        <w:rPr>
          <w:rFonts w:ascii="Arial" w:hAnsi="Arial" w:cs="Arial"/>
          <w:sz w:val="22"/>
          <w:szCs w:val="22"/>
        </w:rPr>
        <w:t xml:space="preserve">.06.2012 at 1230 hours in presence of Purchase committee and representatives of bidders who choose to be present on the occasion, in the committee Room of RRF Sindh, </w:t>
      </w:r>
      <w:proofErr w:type="spellStart"/>
      <w:r w:rsidRPr="00DF3D84">
        <w:rPr>
          <w:rFonts w:ascii="Arial" w:hAnsi="Arial" w:cs="Arial"/>
          <w:sz w:val="22"/>
          <w:szCs w:val="22"/>
        </w:rPr>
        <w:t>Korangi</w:t>
      </w:r>
      <w:proofErr w:type="spellEnd"/>
      <w:r w:rsidRPr="00DF3D84">
        <w:rPr>
          <w:rFonts w:ascii="Arial" w:hAnsi="Arial" w:cs="Arial"/>
          <w:sz w:val="22"/>
          <w:szCs w:val="22"/>
        </w:rPr>
        <w:t xml:space="preserve"> Creek Karachi. The bids shall be evaluated by committee and financial bids of those found in accordance with the specification shall be opened.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Only bids offered on the prescribed tender form issued by the Police department shall be accepted. However, additional sheets may be attached, if required.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Only firms/companies registered with Income Tax and Sales Tax Department are eligible to participate in the tender (Documentary proof required).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Bidders are required to quote the prices in local currency (Pak Rupee).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 xml:space="preserve"> The quantity of equipment can be increased or decreased subject to relevant Provisions of </w:t>
      </w:r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DF3D84">
        <w:rPr>
          <w:rFonts w:ascii="Arial" w:hAnsi="Arial" w:cs="Arial"/>
          <w:b/>
          <w:sz w:val="22"/>
          <w:szCs w:val="22"/>
        </w:rPr>
        <w:t>SPP Rules-2010.</w:t>
      </w:r>
      <w:proofErr w:type="gramEnd"/>
    </w:p>
    <w:p w:rsidR="002553AC" w:rsidRPr="00DF3D84" w:rsidRDefault="002553AC" w:rsidP="002553AC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Conditional tender/application will not be entertained.</w:t>
      </w: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 xml:space="preserve">The consignment of office Machinery &amp; equipment will be delivered at </w:t>
      </w:r>
      <w:r w:rsidRPr="00DF3D84">
        <w:rPr>
          <w:rFonts w:ascii="Arial" w:hAnsi="Arial" w:cs="Arial"/>
          <w:b/>
          <w:sz w:val="22"/>
          <w:szCs w:val="22"/>
        </w:rPr>
        <w:t xml:space="preserve">DIGP/RRF Sindh </w:t>
      </w:r>
      <w:proofErr w:type="spellStart"/>
      <w:r w:rsidRPr="00DF3D84">
        <w:rPr>
          <w:rFonts w:ascii="Arial" w:hAnsi="Arial" w:cs="Arial"/>
          <w:b/>
          <w:sz w:val="22"/>
          <w:szCs w:val="22"/>
        </w:rPr>
        <w:t>Korangi</w:t>
      </w:r>
      <w:proofErr w:type="spellEnd"/>
      <w:r w:rsidRPr="00DF3D84">
        <w:rPr>
          <w:rFonts w:ascii="Arial" w:hAnsi="Arial" w:cs="Arial"/>
          <w:b/>
          <w:sz w:val="22"/>
          <w:szCs w:val="22"/>
        </w:rPr>
        <w:t xml:space="preserve"> Creek Karachi.</w:t>
      </w: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>All payments shall be subject to the clearance by Inspection Committee within 10 days.</w:t>
      </w:r>
    </w:p>
    <w:p w:rsidR="002553AC" w:rsidRPr="00DF3D84" w:rsidRDefault="002553AC" w:rsidP="002553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F3D84">
        <w:rPr>
          <w:rFonts w:ascii="Arial" w:hAnsi="Arial" w:cs="Arial"/>
          <w:sz w:val="22"/>
          <w:szCs w:val="22"/>
        </w:rPr>
        <w:t xml:space="preserve">The competent authority reserves the right to reject any or all tenders in accordance with </w:t>
      </w:r>
    </w:p>
    <w:p w:rsidR="002553AC" w:rsidRPr="00DF3D84" w:rsidRDefault="00DF3D84" w:rsidP="002553AC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SPP Rules, 2010.</w:t>
      </w:r>
      <w:proofErr w:type="gramEnd"/>
    </w:p>
    <w:p w:rsidR="002553AC" w:rsidRPr="00DF3D84" w:rsidRDefault="002553AC" w:rsidP="002553AC">
      <w:pPr>
        <w:jc w:val="both"/>
        <w:rPr>
          <w:rFonts w:ascii="Arial" w:hAnsi="Arial" w:cs="Arial"/>
          <w:sz w:val="10"/>
          <w:szCs w:val="20"/>
        </w:rPr>
      </w:pPr>
    </w:p>
    <w:p w:rsidR="002553AC" w:rsidRPr="00DF3D84" w:rsidRDefault="002553AC" w:rsidP="002553AC">
      <w:pPr>
        <w:jc w:val="both"/>
        <w:rPr>
          <w:rFonts w:ascii="Arial" w:hAnsi="Arial" w:cs="Arial"/>
          <w:sz w:val="12"/>
          <w:szCs w:val="20"/>
        </w:rPr>
      </w:pPr>
    </w:p>
    <w:p w:rsidR="002A026D" w:rsidRDefault="002A026D" w:rsidP="00DF3D84">
      <w:pPr>
        <w:ind w:left="5760"/>
        <w:jc w:val="center"/>
        <w:rPr>
          <w:rFonts w:ascii="Arial" w:hAnsi="Arial" w:cs="Arial"/>
          <w:b/>
          <w:sz w:val="22"/>
          <w:szCs w:val="20"/>
        </w:rPr>
      </w:pPr>
    </w:p>
    <w:p w:rsidR="00DF3D84" w:rsidRDefault="00DF3D84" w:rsidP="00DF3D84">
      <w:pPr>
        <w:ind w:left="5760"/>
        <w:jc w:val="center"/>
        <w:rPr>
          <w:rFonts w:ascii="Arial" w:hAnsi="Arial" w:cs="Arial"/>
          <w:b/>
          <w:sz w:val="22"/>
          <w:szCs w:val="20"/>
        </w:rPr>
      </w:pPr>
      <w:proofErr w:type="spellStart"/>
      <w:r>
        <w:rPr>
          <w:rFonts w:ascii="Arial" w:hAnsi="Arial" w:cs="Arial"/>
          <w:b/>
          <w:sz w:val="22"/>
          <w:szCs w:val="20"/>
        </w:rPr>
        <w:t>Sd</w:t>
      </w:r>
      <w:proofErr w:type="spellEnd"/>
      <w:r>
        <w:rPr>
          <w:rFonts w:ascii="Arial" w:hAnsi="Arial" w:cs="Arial"/>
          <w:b/>
          <w:sz w:val="22"/>
          <w:szCs w:val="20"/>
        </w:rPr>
        <w:t>/-</w:t>
      </w:r>
    </w:p>
    <w:p w:rsidR="00DF3D84" w:rsidRDefault="002553AC" w:rsidP="00DF3D84">
      <w:pPr>
        <w:ind w:left="5760"/>
        <w:jc w:val="center"/>
        <w:rPr>
          <w:rFonts w:ascii="Arial" w:hAnsi="Arial" w:cs="Arial"/>
          <w:b/>
          <w:sz w:val="22"/>
          <w:szCs w:val="20"/>
        </w:rPr>
      </w:pPr>
      <w:r w:rsidRPr="00F05291">
        <w:rPr>
          <w:rFonts w:ascii="Arial" w:hAnsi="Arial" w:cs="Arial"/>
          <w:b/>
          <w:sz w:val="22"/>
          <w:szCs w:val="20"/>
        </w:rPr>
        <w:t>(DR KAMRAN FAZAL SIDDIQUI) PSP,</w:t>
      </w:r>
    </w:p>
    <w:p w:rsidR="002553AC" w:rsidRPr="00DF3D84" w:rsidRDefault="002553AC" w:rsidP="00DF3D84">
      <w:pPr>
        <w:ind w:left="5760"/>
        <w:jc w:val="center"/>
        <w:rPr>
          <w:rFonts w:ascii="Arial" w:hAnsi="Arial" w:cs="Arial"/>
          <w:b/>
          <w:sz w:val="22"/>
          <w:szCs w:val="20"/>
        </w:rPr>
      </w:pPr>
      <w:r w:rsidRPr="00D66FD9">
        <w:rPr>
          <w:rFonts w:ascii="Arial" w:hAnsi="Arial" w:cs="Arial"/>
          <w:sz w:val="20"/>
          <w:szCs w:val="20"/>
        </w:rPr>
        <w:t>Deputy Inspector General of Police</w:t>
      </w:r>
    </w:p>
    <w:p w:rsidR="002553AC" w:rsidRPr="00D66FD9" w:rsidRDefault="002553AC" w:rsidP="00DF3D84">
      <w:pPr>
        <w:ind w:left="5760"/>
        <w:jc w:val="center"/>
        <w:rPr>
          <w:rFonts w:ascii="Arial" w:hAnsi="Arial" w:cs="Arial"/>
          <w:sz w:val="20"/>
          <w:szCs w:val="20"/>
        </w:rPr>
      </w:pPr>
      <w:r w:rsidRPr="00D66FD9">
        <w:rPr>
          <w:rFonts w:ascii="Arial" w:hAnsi="Arial" w:cs="Arial"/>
          <w:sz w:val="20"/>
          <w:szCs w:val="20"/>
        </w:rPr>
        <w:t xml:space="preserve">RRF Sindh, </w:t>
      </w:r>
      <w:r w:rsidRPr="00D66FD9">
        <w:rPr>
          <w:rFonts w:ascii="Arial" w:hAnsi="Arial" w:cs="Arial"/>
          <w:b/>
          <w:sz w:val="20"/>
          <w:szCs w:val="20"/>
        </w:rPr>
        <w:t>Karachi</w:t>
      </w:r>
    </w:p>
    <w:p w:rsidR="00801B69" w:rsidRDefault="00801B69"/>
    <w:sectPr w:rsidR="00801B69" w:rsidSect="00DF3D84">
      <w:pgSz w:w="12240" w:h="15840"/>
      <w:pgMar w:top="27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235"/>
    <w:multiLevelType w:val="hybridMultilevel"/>
    <w:tmpl w:val="618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F7C85"/>
    <w:multiLevelType w:val="hybridMultilevel"/>
    <w:tmpl w:val="DC92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C7299FC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16245"/>
    <w:multiLevelType w:val="hybridMultilevel"/>
    <w:tmpl w:val="3AC8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553AC"/>
    <w:rsid w:val="001074B3"/>
    <w:rsid w:val="002553AC"/>
    <w:rsid w:val="002A026D"/>
    <w:rsid w:val="007A4DAC"/>
    <w:rsid w:val="007D69CB"/>
    <w:rsid w:val="00801B69"/>
    <w:rsid w:val="009B28A6"/>
    <w:rsid w:val="00B97257"/>
    <w:rsid w:val="00D7587C"/>
    <w:rsid w:val="00D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53A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5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553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5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Administrator</cp:lastModifiedBy>
  <cp:revision>7</cp:revision>
  <dcterms:created xsi:type="dcterms:W3CDTF">2012-05-22T07:32:00Z</dcterms:created>
  <dcterms:modified xsi:type="dcterms:W3CDTF">2012-05-23T15:18:00Z</dcterms:modified>
</cp:coreProperties>
</file>